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A651E" w14:textId="4B6D321C" w:rsidR="00803D79" w:rsidRDefault="00673F1C">
      <w:pPr>
        <w:pStyle w:val="BodyText"/>
        <w:ind w:left="3450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6EB173" wp14:editId="7B9A7173">
            <wp:simplePos x="0" y="0"/>
            <wp:positionH relativeFrom="column">
              <wp:posOffset>2194560</wp:posOffset>
            </wp:positionH>
            <wp:positionV relativeFrom="paragraph">
              <wp:posOffset>2540</wp:posOffset>
            </wp:positionV>
            <wp:extent cx="1546860" cy="784860"/>
            <wp:effectExtent l="0" t="0" r="0" b="0"/>
            <wp:wrapTight wrapText="bothSides">
              <wp:wrapPolygon edited="0">
                <wp:start x="0" y="0"/>
                <wp:lineTo x="0" y="21320"/>
                <wp:lineTo x="21458" y="21320"/>
                <wp:lineTo x="21458" y="0"/>
                <wp:lineTo x="0" y="0"/>
              </wp:wrapPolygon>
            </wp:wrapTight>
            <wp:docPr id="2" name="Picture 1" descr="http://www.socialincubatoreast.org.uk/wp-content/uploads/2015/06/TurtleDoveLogo-Black-287x17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cialincubatoreast.org.uk/wp-content/uploads/2015/06/TurtleDoveLogo-Black-287x174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D60086" w14:textId="77777777" w:rsidR="00803D79" w:rsidRDefault="00803D79">
      <w:pPr>
        <w:pStyle w:val="BodyText"/>
        <w:ind w:left="0"/>
        <w:rPr>
          <w:rFonts w:ascii="Times New Roman"/>
          <w:sz w:val="20"/>
        </w:rPr>
      </w:pPr>
    </w:p>
    <w:p w14:paraId="2ADED93E" w14:textId="77777777" w:rsidR="00803D79" w:rsidRDefault="00803D79">
      <w:pPr>
        <w:pStyle w:val="BodyText"/>
        <w:spacing w:before="1"/>
        <w:ind w:left="0"/>
        <w:rPr>
          <w:rFonts w:ascii="Times New Roman"/>
          <w:sz w:val="18"/>
        </w:rPr>
      </w:pPr>
    </w:p>
    <w:p w14:paraId="6A087888" w14:textId="77777777" w:rsidR="00FC453F" w:rsidRDefault="00FC453F">
      <w:pPr>
        <w:pStyle w:val="BodyText"/>
        <w:spacing w:before="1"/>
        <w:ind w:left="0"/>
        <w:rPr>
          <w:rFonts w:ascii="Times New Roman"/>
          <w:sz w:val="18"/>
        </w:rPr>
      </w:pPr>
    </w:p>
    <w:p w14:paraId="717323AA" w14:textId="77777777" w:rsidR="00FC453F" w:rsidRDefault="00FC453F">
      <w:pPr>
        <w:pStyle w:val="BodyText"/>
        <w:spacing w:before="1"/>
        <w:ind w:left="0"/>
        <w:rPr>
          <w:rFonts w:ascii="Times New Roman"/>
          <w:sz w:val="18"/>
        </w:rPr>
      </w:pPr>
    </w:p>
    <w:p w14:paraId="5C935F64" w14:textId="77777777" w:rsidR="00FC453F" w:rsidRDefault="00FC453F">
      <w:pPr>
        <w:pStyle w:val="BodyText"/>
        <w:spacing w:before="1"/>
        <w:ind w:left="0"/>
        <w:rPr>
          <w:rFonts w:ascii="Times New Roman"/>
          <w:sz w:val="18"/>
        </w:rPr>
      </w:pPr>
    </w:p>
    <w:p w14:paraId="745F31B2" w14:textId="77777777" w:rsidR="00FC453F" w:rsidRDefault="00FC453F">
      <w:pPr>
        <w:pStyle w:val="BodyText"/>
        <w:spacing w:before="1"/>
        <w:ind w:left="0"/>
        <w:rPr>
          <w:rFonts w:ascii="Times New Roman"/>
          <w:sz w:val="18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0"/>
        <w:gridCol w:w="4880"/>
      </w:tblGrid>
      <w:tr w:rsidR="00803D79" w14:paraId="4D138B5A" w14:textId="77777777" w:rsidTr="00245D8C">
        <w:trPr>
          <w:trHeight w:val="460"/>
        </w:trPr>
        <w:tc>
          <w:tcPr>
            <w:tcW w:w="9000" w:type="dxa"/>
            <w:gridSpan w:val="2"/>
            <w:shd w:val="clear" w:color="auto" w:fill="B6DDE8" w:themeFill="accent5" w:themeFillTint="66"/>
          </w:tcPr>
          <w:p w14:paraId="4240DAB8" w14:textId="77777777" w:rsidR="00803D79" w:rsidRDefault="00B21795">
            <w:pPr>
              <w:pStyle w:val="TableParagraph"/>
              <w:spacing w:before="103"/>
              <w:rPr>
                <w:b/>
              </w:rPr>
            </w:pPr>
            <w:r>
              <w:rPr>
                <w:b/>
              </w:rPr>
              <w:t>Policy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document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control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box</w:t>
            </w:r>
          </w:p>
        </w:tc>
      </w:tr>
      <w:tr w:rsidR="00803D79" w14:paraId="56DC38B5" w14:textId="77777777">
        <w:trPr>
          <w:trHeight w:val="520"/>
        </w:trPr>
        <w:tc>
          <w:tcPr>
            <w:tcW w:w="4120" w:type="dxa"/>
          </w:tcPr>
          <w:p w14:paraId="01D5D29E" w14:textId="77777777" w:rsidR="00803D79" w:rsidRDefault="00B21795">
            <w:pPr>
              <w:pStyle w:val="TableParagraph"/>
              <w:spacing w:before="101"/>
            </w:pPr>
            <w:r>
              <w:t>Policy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title</w:t>
            </w:r>
          </w:p>
        </w:tc>
        <w:tc>
          <w:tcPr>
            <w:tcW w:w="4880" w:type="dxa"/>
          </w:tcPr>
          <w:p w14:paraId="02FD9F7D" w14:textId="77777777" w:rsidR="00803D79" w:rsidRDefault="00B21795" w:rsidP="00245D8C">
            <w:pPr>
              <w:pStyle w:val="TableParagraph"/>
              <w:spacing w:before="101"/>
              <w:rPr>
                <w:b/>
                <w:sz w:val="28"/>
              </w:rPr>
            </w:pPr>
            <w:r>
              <w:rPr>
                <w:b/>
                <w:sz w:val="28"/>
              </w:rPr>
              <w:t>Quality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Assurance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Policy</w:t>
            </w:r>
          </w:p>
        </w:tc>
      </w:tr>
      <w:tr w:rsidR="00803D79" w14:paraId="35391B53" w14:textId="77777777">
        <w:trPr>
          <w:trHeight w:val="460"/>
        </w:trPr>
        <w:tc>
          <w:tcPr>
            <w:tcW w:w="4120" w:type="dxa"/>
          </w:tcPr>
          <w:p w14:paraId="59784E5D" w14:textId="66FBC53E" w:rsidR="00803D79" w:rsidRDefault="00B21795">
            <w:pPr>
              <w:pStyle w:val="TableParagraph"/>
              <w:spacing w:before="108"/>
            </w:pPr>
            <w:r>
              <w:t>Policy</w:t>
            </w:r>
            <w:r>
              <w:rPr>
                <w:spacing w:val="-6"/>
              </w:rPr>
              <w:t xml:space="preserve"> </w:t>
            </w:r>
            <w:r>
              <w:t>owner</w:t>
            </w:r>
            <w:r>
              <w:rPr>
                <w:spacing w:val="-6"/>
              </w:rPr>
              <w:t xml:space="preserve"> </w:t>
            </w:r>
          </w:p>
        </w:tc>
        <w:tc>
          <w:tcPr>
            <w:tcW w:w="4880" w:type="dxa"/>
          </w:tcPr>
          <w:p w14:paraId="77633D71" w14:textId="7303FDCC" w:rsidR="00803D79" w:rsidRDefault="00643194">
            <w:pPr>
              <w:pStyle w:val="TableParagraph"/>
              <w:spacing w:before="108"/>
              <w:ind w:left="99"/>
            </w:pPr>
            <w:r>
              <w:t>A</w:t>
            </w:r>
            <w:r w:rsidR="00245D8C">
              <w:t xml:space="preserve">lternative </w:t>
            </w:r>
            <w:r>
              <w:t>E</w:t>
            </w:r>
            <w:r w:rsidR="00245D8C">
              <w:t>ducation Lead</w:t>
            </w:r>
          </w:p>
        </w:tc>
      </w:tr>
      <w:tr w:rsidR="00803D79" w14:paraId="64CB9D54" w14:textId="77777777">
        <w:trPr>
          <w:trHeight w:val="460"/>
        </w:trPr>
        <w:tc>
          <w:tcPr>
            <w:tcW w:w="4120" w:type="dxa"/>
          </w:tcPr>
          <w:p w14:paraId="5D1B80A2" w14:textId="0F7CE8E3" w:rsidR="00803D79" w:rsidRDefault="00245D8C">
            <w:pPr>
              <w:pStyle w:val="TableParagraph"/>
              <w:spacing w:before="104"/>
            </w:pPr>
            <w:r>
              <w:t>Approving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body</w:t>
            </w:r>
          </w:p>
        </w:tc>
        <w:tc>
          <w:tcPr>
            <w:tcW w:w="4880" w:type="dxa"/>
          </w:tcPr>
          <w:p w14:paraId="0322B021" w14:textId="0EF32853" w:rsidR="00803D79" w:rsidRDefault="00245D8C">
            <w:pPr>
              <w:pStyle w:val="TableParagraph"/>
              <w:spacing w:before="104"/>
              <w:ind w:left="99"/>
            </w:pPr>
            <w:r>
              <w:t>Turtle Dove Cambridge Board of Directors</w:t>
            </w:r>
          </w:p>
        </w:tc>
      </w:tr>
      <w:tr w:rsidR="00803D79" w14:paraId="7DC07C95" w14:textId="77777777">
        <w:trPr>
          <w:trHeight w:val="459"/>
        </w:trPr>
        <w:tc>
          <w:tcPr>
            <w:tcW w:w="4120" w:type="dxa"/>
          </w:tcPr>
          <w:p w14:paraId="725F9A53" w14:textId="77777777" w:rsidR="00803D79" w:rsidRDefault="00B21795">
            <w:pPr>
              <w:pStyle w:val="TableParagraph"/>
              <w:spacing w:before="102"/>
            </w:pPr>
            <w:r>
              <w:t>Date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meeting</w:t>
            </w:r>
            <w:r>
              <w:rPr>
                <w:spacing w:val="-5"/>
              </w:rPr>
              <w:t xml:space="preserve"> </w:t>
            </w:r>
            <w:r>
              <w:t>when</w:t>
            </w:r>
            <w:r>
              <w:rPr>
                <w:spacing w:val="-5"/>
              </w:rPr>
              <w:t xml:space="preserve"> </w:t>
            </w:r>
            <w:r>
              <w:t>version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approved</w:t>
            </w:r>
          </w:p>
        </w:tc>
        <w:tc>
          <w:tcPr>
            <w:tcW w:w="4880" w:type="dxa"/>
          </w:tcPr>
          <w:p w14:paraId="58B047D4" w14:textId="5112B2BC" w:rsidR="00803D79" w:rsidRDefault="00B21795">
            <w:pPr>
              <w:pStyle w:val="TableParagraph"/>
              <w:spacing w:before="102"/>
              <w:ind w:left="99"/>
            </w:pPr>
            <w:r>
              <w:t>August 2025</w:t>
            </w:r>
          </w:p>
        </w:tc>
      </w:tr>
      <w:tr w:rsidR="00803D79" w14:paraId="59A9B791" w14:textId="77777777">
        <w:trPr>
          <w:trHeight w:val="440"/>
        </w:trPr>
        <w:tc>
          <w:tcPr>
            <w:tcW w:w="4120" w:type="dxa"/>
          </w:tcPr>
          <w:p w14:paraId="5C7867E6" w14:textId="77777777" w:rsidR="00803D79" w:rsidRDefault="00B21795">
            <w:pPr>
              <w:pStyle w:val="TableParagraph"/>
              <w:spacing w:before="100"/>
            </w:pPr>
            <w:r>
              <w:t>Date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next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review</w:t>
            </w:r>
          </w:p>
        </w:tc>
        <w:tc>
          <w:tcPr>
            <w:tcW w:w="4880" w:type="dxa"/>
          </w:tcPr>
          <w:p w14:paraId="1236C17E" w14:textId="752EDADF" w:rsidR="00803D79" w:rsidRDefault="00B21795">
            <w:pPr>
              <w:pStyle w:val="TableParagraph"/>
              <w:spacing w:before="100"/>
              <w:ind w:left="99"/>
            </w:pPr>
            <w:r>
              <w:t>August 2026</w:t>
            </w:r>
          </w:p>
        </w:tc>
      </w:tr>
    </w:tbl>
    <w:p w14:paraId="74A7AA5A" w14:textId="77777777" w:rsidR="00803D79" w:rsidRDefault="00803D79">
      <w:pPr>
        <w:pStyle w:val="BodyText"/>
        <w:ind w:left="0"/>
        <w:rPr>
          <w:rFonts w:ascii="Times New Roman"/>
          <w:sz w:val="20"/>
        </w:rPr>
      </w:pPr>
    </w:p>
    <w:p w14:paraId="5F3F39CD" w14:textId="77777777" w:rsidR="00803D79" w:rsidRDefault="00803D79">
      <w:pPr>
        <w:pStyle w:val="BodyText"/>
        <w:spacing w:before="7"/>
        <w:ind w:left="0"/>
        <w:rPr>
          <w:rFonts w:ascii="Times New Roman"/>
          <w:sz w:val="1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1"/>
        <w:gridCol w:w="2318"/>
      </w:tblGrid>
      <w:tr w:rsidR="00803D79" w14:paraId="70D57CC3" w14:textId="77777777" w:rsidTr="00245D8C">
        <w:trPr>
          <w:trHeight w:val="460"/>
        </w:trPr>
        <w:tc>
          <w:tcPr>
            <w:tcW w:w="9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17995819" w14:textId="77777777" w:rsidR="00803D79" w:rsidRDefault="00B21795">
            <w:pPr>
              <w:pStyle w:val="TableParagraph"/>
              <w:spacing w:before="107"/>
              <w:rPr>
                <w:b/>
              </w:rPr>
            </w:pPr>
            <w:r>
              <w:rPr>
                <w:b/>
              </w:rPr>
              <w:t>Policy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contents:</w:t>
            </w:r>
          </w:p>
        </w:tc>
      </w:tr>
      <w:tr w:rsidR="00803D79" w14:paraId="05C071F0" w14:textId="77777777" w:rsidTr="00FC453F">
        <w:trPr>
          <w:trHeight w:val="361"/>
        </w:trPr>
        <w:tc>
          <w:tcPr>
            <w:tcW w:w="6701" w:type="dxa"/>
            <w:tcBorders>
              <w:top w:val="single" w:sz="8" w:space="0" w:color="000000"/>
              <w:left w:val="single" w:sz="8" w:space="0" w:color="000000"/>
            </w:tcBorders>
          </w:tcPr>
          <w:p w14:paraId="75984DA8" w14:textId="77777777" w:rsidR="00803D79" w:rsidRPr="00FC453F" w:rsidRDefault="00B21795" w:rsidP="00B21795">
            <w:pPr>
              <w:pStyle w:val="TableParagraph"/>
              <w:numPr>
                <w:ilvl w:val="0"/>
                <w:numId w:val="2"/>
              </w:numPr>
              <w:spacing w:before="162" w:line="276" w:lineRule="auto"/>
              <w:rPr>
                <w:bCs/>
              </w:rPr>
            </w:pPr>
            <w:r w:rsidRPr="00FC453F">
              <w:rPr>
                <w:bCs/>
                <w:spacing w:val="-2"/>
              </w:rPr>
              <w:t>Purpose</w:t>
            </w:r>
          </w:p>
        </w:tc>
        <w:tc>
          <w:tcPr>
            <w:tcW w:w="2318" w:type="dxa"/>
            <w:tcBorders>
              <w:top w:val="single" w:sz="8" w:space="0" w:color="000000"/>
              <w:right w:val="single" w:sz="8" w:space="0" w:color="000000"/>
            </w:tcBorders>
          </w:tcPr>
          <w:p w14:paraId="56C2AF00" w14:textId="0DF7A2AF" w:rsidR="00803D79" w:rsidRDefault="00803D79">
            <w:pPr>
              <w:pStyle w:val="TableParagraph"/>
              <w:spacing w:before="162"/>
              <w:ind w:left="0" w:right="111"/>
              <w:jc w:val="right"/>
              <w:rPr>
                <w:b/>
              </w:rPr>
            </w:pPr>
          </w:p>
        </w:tc>
      </w:tr>
      <w:tr w:rsidR="00803D79" w14:paraId="7171A196" w14:textId="77777777">
        <w:trPr>
          <w:trHeight w:val="452"/>
        </w:trPr>
        <w:tc>
          <w:tcPr>
            <w:tcW w:w="6701" w:type="dxa"/>
            <w:tcBorders>
              <w:left w:val="single" w:sz="8" w:space="0" w:color="000000"/>
            </w:tcBorders>
          </w:tcPr>
          <w:p w14:paraId="42DFBCFC" w14:textId="77777777" w:rsidR="00803D79" w:rsidRPr="00FC453F" w:rsidRDefault="00B21795" w:rsidP="00B21795">
            <w:pPr>
              <w:pStyle w:val="TableParagraph"/>
              <w:numPr>
                <w:ilvl w:val="0"/>
                <w:numId w:val="2"/>
              </w:numPr>
              <w:spacing w:line="276" w:lineRule="auto"/>
              <w:rPr>
                <w:bCs/>
              </w:rPr>
            </w:pPr>
            <w:r w:rsidRPr="00FC453F">
              <w:rPr>
                <w:bCs/>
                <w:spacing w:val="-2"/>
              </w:rPr>
              <w:t>Scope</w:t>
            </w:r>
          </w:p>
        </w:tc>
        <w:tc>
          <w:tcPr>
            <w:tcW w:w="2318" w:type="dxa"/>
            <w:tcBorders>
              <w:right w:val="single" w:sz="8" w:space="0" w:color="000000"/>
            </w:tcBorders>
          </w:tcPr>
          <w:p w14:paraId="1C61DD40" w14:textId="7028CA32" w:rsidR="00803D79" w:rsidRDefault="00803D79">
            <w:pPr>
              <w:pStyle w:val="TableParagraph"/>
              <w:ind w:left="0" w:right="111"/>
              <w:jc w:val="right"/>
              <w:rPr>
                <w:b/>
              </w:rPr>
            </w:pPr>
          </w:p>
        </w:tc>
      </w:tr>
      <w:tr w:rsidR="00803D79" w14:paraId="2545439E" w14:textId="77777777">
        <w:trPr>
          <w:trHeight w:val="452"/>
        </w:trPr>
        <w:tc>
          <w:tcPr>
            <w:tcW w:w="6701" w:type="dxa"/>
            <w:tcBorders>
              <w:left w:val="single" w:sz="8" w:space="0" w:color="000000"/>
            </w:tcBorders>
          </w:tcPr>
          <w:p w14:paraId="2F50E051" w14:textId="77777777" w:rsidR="00803D79" w:rsidRPr="00FC453F" w:rsidRDefault="00B21795" w:rsidP="00B21795">
            <w:pPr>
              <w:pStyle w:val="TableParagraph"/>
              <w:numPr>
                <w:ilvl w:val="0"/>
                <w:numId w:val="2"/>
              </w:numPr>
              <w:spacing w:line="276" w:lineRule="auto"/>
              <w:rPr>
                <w:bCs/>
              </w:rPr>
            </w:pPr>
            <w:r w:rsidRPr="00FC453F">
              <w:rPr>
                <w:bCs/>
              </w:rPr>
              <w:t>Policy</w:t>
            </w:r>
            <w:r w:rsidRPr="00FC453F">
              <w:rPr>
                <w:bCs/>
                <w:spacing w:val="-9"/>
              </w:rPr>
              <w:t xml:space="preserve"> </w:t>
            </w:r>
            <w:r w:rsidRPr="00FC453F">
              <w:rPr>
                <w:bCs/>
              </w:rPr>
              <w:t>statement,</w:t>
            </w:r>
            <w:r w:rsidRPr="00FC453F">
              <w:rPr>
                <w:bCs/>
                <w:spacing w:val="-7"/>
              </w:rPr>
              <w:t xml:space="preserve"> </w:t>
            </w:r>
            <w:r w:rsidRPr="00FC453F">
              <w:rPr>
                <w:bCs/>
              </w:rPr>
              <w:t>provision</w:t>
            </w:r>
            <w:r w:rsidRPr="00FC453F">
              <w:rPr>
                <w:bCs/>
                <w:spacing w:val="-7"/>
              </w:rPr>
              <w:t xml:space="preserve"> </w:t>
            </w:r>
            <w:r w:rsidRPr="00FC453F">
              <w:rPr>
                <w:bCs/>
              </w:rPr>
              <w:t>and</w:t>
            </w:r>
            <w:r w:rsidRPr="00FC453F">
              <w:rPr>
                <w:bCs/>
                <w:spacing w:val="-7"/>
              </w:rPr>
              <w:t xml:space="preserve"> </w:t>
            </w:r>
            <w:r w:rsidRPr="00FC453F">
              <w:rPr>
                <w:bCs/>
                <w:spacing w:val="-2"/>
              </w:rPr>
              <w:t>safeguards</w:t>
            </w:r>
          </w:p>
        </w:tc>
        <w:tc>
          <w:tcPr>
            <w:tcW w:w="2318" w:type="dxa"/>
            <w:tcBorders>
              <w:right w:val="single" w:sz="8" w:space="0" w:color="000000"/>
            </w:tcBorders>
          </w:tcPr>
          <w:p w14:paraId="4CBA61C3" w14:textId="67E1C9F6" w:rsidR="00803D79" w:rsidRDefault="00803D79">
            <w:pPr>
              <w:pStyle w:val="TableParagraph"/>
              <w:ind w:left="0" w:right="111"/>
              <w:jc w:val="right"/>
              <w:rPr>
                <w:b/>
              </w:rPr>
            </w:pPr>
          </w:p>
        </w:tc>
      </w:tr>
      <w:tr w:rsidR="00803D79" w14:paraId="7833495A" w14:textId="77777777">
        <w:trPr>
          <w:trHeight w:val="452"/>
        </w:trPr>
        <w:tc>
          <w:tcPr>
            <w:tcW w:w="6701" w:type="dxa"/>
            <w:tcBorders>
              <w:left w:val="single" w:sz="8" w:space="0" w:color="000000"/>
            </w:tcBorders>
          </w:tcPr>
          <w:p w14:paraId="6D3FCCB4" w14:textId="77777777" w:rsidR="00803D79" w:rsidRPr="00FC453F" w:rsidRDefault="00B21795" w:rsidP="00B21795">
            <w:pPr>
              <w:pStyle w:val="TableParagraph"/>
              <w:numPr>
                <w:ilvl w:val="0"/>
                <w:numId w:val="2"/>
              </w:numPr>
              <w:spacing w:line="276" w:lineRule="auto"/>
              <w:rPr>
                <w:bCs/>
              </w:rPr>
            </w:pPr>
            <w:r w:rsidRPr="00FC453F">
              <w:rPr>
                <w:bCs/>
                <w:spacing w:val="-2"/>
              </w:rPr>
              <w:t>Responsibilities</w:t>
            </w:r>
          </w:p>
        </w:tc>
        <w:tc>
          <w:tcPr>
            <w:tcW w:w="2318" w:type="dxa"/>
            <w:tcBorders>
              <w:right w:val="single" w:sz="8" w:space="0" w:color="000000"/>
            </w:tcBorders>
          </w:tcPr>
          <w:p w14:paraId="439CFA18" w14:textId="5C0DCE7D" w:rsidR="00803D79" w:rsidRDefault="00803D79">
            <w:pPr>
              <w:pStyle w:val="TableParagraph"/>
              <w:ind w:left="0" w:right="111"/>
              <w:jc w:val="right"/>
              <w:rPr>
                <w:b/>
              </w:rPr>
            </w:pPr>
          </w:p>
        </w:tc>
      </w:tr>
      <w:tr w:rsidR="00803D79" w14:paraId="7545A2D5" w14:textId="77777777">
        <w:trPr>
          <w:trHeight w:val="773"/>
        </w:trPr>
        <w:tc>
          <w:tcPr>
            <w:tcW w:w="6701" w:type="dxa"/>
            <w:tcBorders>
              <w:left w:val="single" w:sz="8" w:space="0" w:color="000000"/>
              <w:bottom w:val="single" w:sz="8" w:space="0" w:color="000000"/>
            </w:tcBorders>
          </w:tcPr>
          <w:p w14:paraId="28E77BD8" w14:textId="77777777" w:rsidR="00803D79" w:rsidRPr="00FC453F" w:rsidRDefault="00B21795" w:rsidP="00B21795">
            <w:pPr>
              <w:pStyle w:val="TableParagraph"/>
              <w:numPr>
                <w:ilvl w:val="0"/>
                <w:numId w:val="2"/>
              </w:numPr>
              <w:spacing w:line="276" w:lineRule="auto"/>
              <w:rPr>
                <w:bCs/>
              </w:rPr>
            </w:pPr>
            <w:r w:rsidRPr="00FC453F">
              <w:rPr>
                <w:bCs/>
                <w:spacing w:val="-2"/>
              </w:rPr>
              <w:t>Safeguarding</w:t>
            </w:r>
          </w:p>
        </w:tc>
        <w:tc>
          <w:tcPr>
            <w:tcW w:w="2318" w:type="dxa"/>
            <w:tcBorders>
              <w:bottom w:val="single" w:sz="8" w:space="0" w:color="000000"/>
              <w:right w:val="single" w:sz="8" w:space="0" w:color="000000"/>
            </w:tcBorders>
          </w:tcPr>
          <w:p w14:paraId="5386CBCF" w14:textId="18B76F5F" w:rsidR="00803D79" w:rsidRDefault="00803D79">
            <w:pPr>
              <w:pStyle w:val="TableParagraph"/>
              <w:ind w:left="0" w:right="111"/>
              <w:jc w:val="right"/>
              <w:rPr>
                <w:b/>
              </w:rPr>
            </w:pPr>
          </w:p>
        </w:tc>
      </w:tr>
    </w:tbl>
    <w:p w14:paraId="0B84AF08" w14:textId="77777777" w:rsidR="00803D79" w:rsidRDefault="00803D79">
      <w:pPr>
        <w:jc w:val="right"/>
        <w:sectPr w:rsidR="00803D79" w:rsidSect="004B5AE5">
          <w:type w:val="continuous"/>
          <w:pgSz w:w="11920" w:h="16840"/>
          <w:pgMar w:top="380" w:right="1220" w:bottom="280" w:left="1320" w:header="720" w:footer="720" w:gutter="0"/>
          <w:cols w:space="720"/>
        </w:sectPr>
      </w:pPr>
    </w:p>
    <w:p w14:paraId="7C3B7DE0" w14:textId="77777777" w:rsidR="00803D79" w:rsidRDefault="00B21795">
      <w:pPr>
        <w:pStyle w:val="Heading2"/>
        <w:spacing w:before="80"/>
      </w:pPr>
      <w:r>
        <w:rPr>
          <w:spacing w:val="-2"/>
        </w:rPr>
        <w:lastRenderedPageBreak/>
        <w:t>Purpose</w:t>
      </w:r>
    </w:p>
    <w:p w14:paraId="1158EE84" w14:textId="77777777" w:rsidR="00803D79" w:rsidRDefault="00803D79">
      <w:pPr>
        <w:pStyle w:val="BodyText"/>
        <w:spacing w:before="8"/>
        <w:ind w:left="0"/>
        <w:rPr>
          <w:b/>
          <w:sz w:val="36"/>
        </w:rPr>
      </w:pPr>
    </w:p>
    <w:p w14:paraId="1BC30669" w14:textId="3644845F" w:rsidR="00803D79" w:rsidRDefault="00B21795">
      <w:pPr>
        <w:pStyle w:val="BodyText"/>
        <w:spacing w:line="276" w:lineRule="auto"/>
        <w:ind w:left="120" w:right="198"/>
      </w:pPr>
      <w:r>
        <w:t xml:space="preserve">This policy enshrines that </w:t>
      </w:r>
      <w:r w:rsidR="00643194">
        <w:t>Turtle Dove Cambridge Alternative Provision</w:t>
      </w:r>
      <w:r>
        <w:t xml:space="preserve"> aims to ensure that we provide the best possible learning experience for all students referred to </w:t>
      </w:r>
      <w:r w:rsidR="00643194">
        <w:t>Turtle Dove Cambridge Alternative Provision</w:t>
      </w:r>
      <w:r>
        <w:t xml:space="preserve"> and to ensure that all young people are safe in line with statutory safeguarding guidance. </w:t>
      </w:r>
      <w:proofErr w:type="gramStart"/>
      <w:r>
        <w:t>In order to</w:t>
      </w:r>
      <w:proofErr w:type="gramEnd"/>
      <w:r>
        <w:t xml:space="preserve"> achieve this,</w:t>
      </w:r>
      <w:r>
        <w:t xml:space="preserve"> we aim to enable all staff to monitor their own practice</w:t>
      </w:r>
      <w:r w:rsidR="00643194">
        <w:t xml:space="preserve"> and</w:t>
      </w:r>
      <w:r>
        <w:t xml:space="preserve"> constant</w:t>
      </w:r>
      <w:r w:rsidR="00643194">
        <w:t>ly</w:t>
      </w:r>
      <w:r>
        <w:t xml:space="preserve"> seek to improve</w:t>
      </w:r>
      <w:r w:rsidR="00643194">
        <w:t>.</w:t>
      </w:r>
    </w:p>
    <w:p w14:paraId="23D9B66C" w14:textId="77777777" w:rsidR="00803D79" w:rsidRDefault="00803D79">
      <w:pPr>
        <w:pStyle w:val="BodyText"/>
        <w:spacing w:before="9"/>
        <w:ind w:left="0"/>
        <w:rPr>
          <w:sz w:val="27"/>
        </w:rPr>
      </w:pPr>
    </w:p>
    <w:p w14:paraId="723823A0" w14:textId="77777777" w:rsidR="00803D79" w:rsidRDefault="00B21795">
      <w:pPr>
        <w:pStyle w:val="Heading2"/>
      </w:pPr>
      <w:r>
        <w:rPr>
          <w:spacing w:val="-2"/>
        </w:rPr>
        <w:t>Scope</w:t>
      </w:r>
    </w:p>
    <w:p w14:paraId="6EBB9B85" w14:textId="77777777" w:rsidR="00803D79" w:rsidRDefault="00803D79">
      <w:pPr>
        <w:pStyle w:val="BodyText"/>
        <w:spacing w:before="8"/>
        <w:ind w:left="0"/>
        <w:rPr>
          <w:b/>
          <w:sz w:val="36"/>
        </w:rPr>
      </w:pPr>
    </w:p>
    <w:p w14:paraId="2E4A3AD3" w14:textId="5F511A1A" w:rsidR="00803D79" w:rsidRDefault="00B21795">
      <w:pPr>
        <w:pStyle w:val="BodyText"/>
        <w:spacing w:line="276" w:lineRule="auto"/>
        <w:ind w:left="120"/>
      </w:pPr>
      <w:r>
        <w:t>All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reflective</w:t>
      </w:r>
      <w:r>
        <w:rPr>
          <w:spacing w:val="-4"/>
        </w:rPr>
        <w:t xml:space="preserve"> </w:t>
      </w:r>
      <w:r>
        <w:t>practitioners;</w:t>
      </w:r>
      <w:r>
        <w:rPr>
          <w:spacing w:val="-4"/>
        </w:rPr>
        <w:t xml:space="preserve"> </w:t>
      </w:r>
      <w:r>
        <w:t>managers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those staff that they directly line-manage to reflect upon practice and plan strategies to develop and improve practice.</w:t>
      </w:r>
    </w:p>
    <w:p w14:paraId="7AE1071A" w14:textId="77777777" w:rsidR="00803D79" w:rsidRDefault="00803D79">
      <w:pPr>
        <w:pStyle w:val="BodyText"/>
        <w:spacing w:before="9"/>
        <w:ind w:left="0"/>
        <w:rPr>
          <w:sz w:val="26"/>
        </w:rPr>
      </w:pPr>
    </w:p>
    <w:p w14:paraId="25DA79F1" w14:textId="77777777" w:rsidR="00803D79" w:rsidRDefault="00B21795">
      <w:pPr>
        <w:pStyle w:val="Heading2"/>
      </w:pPr>
      <w:r>
        <w:t>Policy</w:t>
      </w:r>
      <w:r>
        <w:rPr>
          <w:spacing w:val="-7"/>
        </w:rPr>
        <w:t xml:space="preserve"> </w:t>
      </w:r>
      <w:r>
        <w:t>statement,</w:t>
      </w:r>
      <w:r>
        <w:rPr>
          <w:spacing w:val="-7"/>
        </w:rPr>
        <w:t xml:space="preserve"> </w:t>
      </w:r>
      <w:r>
        <w:t>provision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safeguards</w:t>
      </w:r>
    </w:p>
    <w:p w14:paraId="4984D204" w14:textId="77777777" w:rsidR="00803D79" w:rsidRDefault="00803D79">
      <w:pPr>
        <w:pStyle w:val="BodyText"/>
        <w:spacing w:before="10"/>
        <w:ind w:left="0"/>
        <w:rPr>
          <w:b/>
          <w:sz w:val="28"/>
        </w:rPr>
      </w:pPr>
    </w:p>
    <w:p w14:paraId="0779B787" w14:textId="77777777" w:rsidR="00803D79" w:rsidRDefault="00B21795">
      <w:pPr>
        <w:pStyle w:val="BodyText"/>
        <w:spacing w:before="1" w:line="300" w:lineRule="auto"/>
        <w:ind w:left="120"/>
      </w:pPr>
      <w:r>
        <w:t>Quality</w:t>
      </w:r>
      <w:r>
        <w:rPr>
          <w:spacing w:val="-4"/>
        </w:rPr>
        <w:t xml:space="preserve"> </w:t>
      </w:r>
      <w:r>
        <w:t>assurance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achieved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(each</w:t>
      </w:r>
      <w:r>
        <w:rPr>
          <w:spacing w:val="-4"/>
        </w:rPr>
        <w:t xml:space="preserve"> </w:t>
      </w:r>
      <w:r>
        <w:t>bullet</w:t>
      </w:r>
      <w:r>
        <w:rPr>
          <w:spacing w:val="-4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expanded within the policy):</w:t>
      </w:r>
    </w:p>
    <w:p w14:paraId="638261E0" w14:textId="77777777" w:rsidR="00803D79" w:rsidRDefault="00B21795">
      <w:pPr>
        <w:pStyle w:val="ListParagraph"/>
        <w:numPr>
          <w:ilvl w:val="0"/>
          <w:numId w:val="1"/>
        </w:numPr>
        <w:tabs>
          <w:tab w:val="left" w:pos="1184"/>
          <w:tab w:val="left" w:pos="1185"/>
        </w:tabs>
        <w:spacing w:line="300" w:lineRule="auto"/>
        <w:ind w:right="584"/>
      </w:pPr>
      <w:r>
        <w:t>individual</w:t>
      </w:r>
      <w:r>
        <w:rPr>
          <w:spacing w:val="-5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monitoring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progress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reflecting</w:t>
      </w:r>
      <w:r>
        <w:rPr>
          <w:spacing w:val="-5"/>
        </w:rPr>
        <w:t xml:space="preserve"> </w:t>
      </w:r>
      <w:r>
        <w:t xml:space="preserve">critically upon their </w:t>
      </w:r>
      <w:proofErr w:type="gramStart"/>
      <w:r>
        <w:t>work;</w:t>
      </w:r>
      <w:proofErr w:type="gramEnd"/>
    </w:p>
    <w:p w14:paraId="224D6674" w14:textId="43A02139" w:rsidR="00803D79" w:rsidRDefault="00B21795">
      <w:pPr>
        <w:pStyle w:val="ListParagraph"/>
        <w:numPr>
          <w:ilvl w:val="0"/>
          <w:numId w:val="1"/>
        </w:numPr>
        <w:tabs>
          <w:tab w:val="left" w:pos="1184"/>
          <w:tab w:val="left" w:pos="1185"/>
        </w:tabs>
        <w:spacing w:before="7"/>
      </w:pPr>
      <w:r>
        <w:t>the</w:t>
      </w:r>
      <w:r>
        <w:rPr>
          <w:spacing w:val="-9"/>
        </w:rPr>
        <w:t xml:space="preserve"> </w:t>
      </w:r>
      <w:r w:rsidR="00643194">
        <w:t xml:space="preserve">Alternative Education Lead </w:t>
      </w:r>
      <w:r>
        <w:t>developing</w:t>
      </w:r>
      <w:r>
        <w:rPr>
          <w:spacing w:val="-6"/>
        </w:rPr>
        <w:t xml:space="preserve"> </w:t>
      </w:r>
      <w:r>
        <w:t>ongoing</w:t>
      </w:r>
      <w:r>
        <w:rPr>
          <w:spacing w:val="-7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proofErr w:type="gramStart"/>
      <w:r w:rsidR="008650F3">
        <w:t>self</w:t>
      </w:r>
      <w:r w:rsidR="008650F3">
        <w:rPr>
          <w:spacing w:val="-6"/>
        </w:rPr>
        <w:t>-</w:t>
      </w:r>
      <w:r w:rsidR="008650F3">
        <w:rPr>
          <w:spacing w:val="-2"/>
        </w:rPr>
        <w:t>evaluation</w:t>
      </w:r>
      <w:r>
        <w:rPr>
          <w:spacing w:val="-2"/>
        </w:rPr>
        <w:t>;</w:t>
      </w:r>
      <w:proofErr w:type="gramEnd"/>
    </w:p>
    <w:p w14:paraId="0E603E85" w14:textId="44179748" w:rsidR="00803D79" w:rsidRDefault="00B21795">
      <w:pPr>
        <w:pStyle w:val="ListParagraph"/>
        <w:numPr>
          <w:ilvl w:val="0"/>
          <w:numId w:val="1"/>
        </w:numPr>
        <w:tabs>
          <w:tab w:val="left" w:pos="1184"/>
          <w:tab w:val="left" w:pos="1185"/>
        </w:tabs>
        <w:spacing w:before="75"/>
      </w:pPr>
      <w:r>
        <w:t>the</w:t>
      </w:r>
      <w:r>
        <w:rPr>
          <w:spacing w:val="-9"/>
        </w:rPr>
        <w:t xml:space="preserve"> </w:t>
      </w:r>
      <w:r w:rsidR="00440CDE">
        <w:t>Alternative Education Lead</w:t>
      </w:r>
      <w:r>
        <w:rPr>
          <w:spacing w:val="-6"/>
        </w:rPr>
        <w:t xml:space="preserve"> </w:t>
      </w:r>
      <w:r>
        <w:t>carrying</w:t>
      </w:r>
      <w:r>
        <w:rPr>
          <w:spacing w:val="-6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annual</w:t>
      </w:r>
      <w:r>
        <w:rPr>
          <w:spacing w:val="-6"/>
        </w:rPr>
        <w:t xml:space="preserve"> </w:t>
      </w:r>
      <w:r>
        <w:t>performance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reviews;</w:t>
      </w:r>
      <w:proofErr w:type="gramEnd"/>
    </w:p>
    <w:p w14:paraId="1D4B27A5" w14:textId="77777777" w:rsidR="00803D79" w:rsidRDefault="00B21795">
      <w:pPr>
        <w:pStyle w:val="ListParagraph"/>
        <w:numPr>
          <w:ilvl w:val="0"/>
          <w:numId w:val="1"/>
        </w:numPr>
        <w:tabs>
          <w:tab w:val="left" w:pos="1184"/>
          <w:tab w:val="left" w:pos="1185"/>
        </w:tabs>
        <w:spacing w:before="64"/>
      </w:pPr>
      <w:r>
        <w:t>all</w:t>
      </w:r>
      <w:r>
        <w:rPr>
          <w:spacing w:val="-9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participating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annual</w:t>
      </w:r>
      <w:r>
        <w:rPr>
          <w:spacing w:val="-7"/>
        </w:rPr>
        <w:t xml:space="preserve"> </w:t>
      </w:r>
      <w:r>
        <w:t>performance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review;</w:t>
      </w:r>
      <w:proofErr w:type="gramEnd"/>
    </w:p>
    <w:p w14:paraId="673CA8AD" w14:textId="77777777" w:rsidR="00803D79" w:rsidRDefault="00B21795">
      <w:pPr>
        <w:pStyle w:val="ListParagraph"/>
        <w:numPr>
          <w:ilvl w:val="0"/>
          <w:numId w:val="1"/>
        </w:numPr>
        <w:tabs>
          <w:tab w:val="left" w:pos="1184"/>
          <w:tab w:val="left" w:pos="1185"/>
        </w:tabs>
        <w:spacing w:before="63" w:line="300" w:lineRule="auto"/>
        <w:ind w:right="1116"/>
      </w:pPr>
      <w:r>
        <w:t>annual</w:t>
      </w:r>
      <w:r>
        <w:rPr>
          <w:spacing w:val="-5"/>
        </w:rPr>
        <w:t xml:space="preserve"> </w:t>
      </w:r>
      <w:r>
        <w:t>questionnaires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parents</w:t>
      </w:r>
      <w:r>
        <w:rPr>
          <w:spacing w:val="-5"/>
        </w:rPr>
        <w:t xml:space="preserve"> </w:t>
      </w:r>
      <w:r>
        <w:t>seeking</w:t>
      </w:r>
      <w:r>
        <w:rPr>
          <w:spacing w:val="-5"/>
        </w:rPr>
        <w:t xml:space="preserve"> </w:t>
      </w:r>
      <w:r>
        <w:t>feedback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 xml:space="preserve">their </w:t>
      </w:r>
      <w:proofErr w:type="gramStart"/>
      <w:r>
        <w:rPr>
          <w:spacing w:val="-2"/>
        </w:rPr>
        <w:t>experience;</w:t>
      </w:r>
      <w:proofErr w:type="gramEnd"/>
    </w:p>
    <w:p w14:paraId="6973FA28" w14:textId="2AF3901F" w:rsidR="00803D79" w:rsidRDefault="00643194">
      <w:pPr>
        <w:pStyle w:val="ListParagraph"/>
        <w:numPr>
          <w:ilvl w:val="0"/>
          <w:numId w:val="1"/>
        </w:numPr>
        <w:tabs>
          <w:tab w:val="left" w:pos="1184"/>
          <w:tab w:val="left" w:pos="1185"/>
        </w:tabs>
        <w:spacing w:line="300" w:lineRule="auto"/>
        <w:ind w:right="1031"/>
      </w:pPr>
      <w:r>
        <w:rPr>
          <w:spacing w:val="-6"/>
        </w:rPr>
        <w:t xml:space="preserve">Directors </w:t>
      </w:r>
      <w:r>
        <w:t>undertaking</w:t>
      </w:r>
      <w:r>
        <w:rPr>
          <w:spacing w:val="-6"/>
        </w:rPr>
        <w:t xml:space="preserve"> </w:t>
      </w:r>
      <w:r>
        <w:t>specified</w:t>
      </w:r>
      <w:r>
        <w:rPr>
          <w:spacing w:val="-6"/>
        </w:rPr>
        <w:t xml:space="preserve"> </w:t>
      </w:r>
      <w:r>
        <w:t>roles</w:t>
      </w:r>
      <w:r>
        <w:rPr>
          <w:spacing w:val="-6"/>
        </w:rPr>
        <w:t xml:space="preserve"> </w:t>
      </w:r>
      <w:r>
        <w:t>(e.g.</w:t>
      </w:r>
      <w:r>
        <w:rPr>
          <w:spacing w:val="-6"/>
        </w:rPr>
        <w:t xml:space="preserve"> </w:t>
      </w:r>
      <w:r>
        <w:t xml:space="preserve">safeguarding) to monitor the quality of </w:t>
      </w:r>
      <w:proofErr w:type="gramStart"/>
      <w:r>
        <w:t>provision;</w:t>
      </w:r>
      <w:proofErr w:type="gramEnd"/>
    </w:p>
    <w:p w14:paraId="2150C9B1" w14:textId="77777777" w:rsidR="00803D79" w:rsidRDefault="00B21795">
      <w:pPr>
        <w:pStyle w:val="ListParagraph"/>
        <w:numPr>
          <w:ilvl w:val="0"/>
          <w:numId w:val="1"/>
        </w:numPr>
        <w:tabs>
          <w:tab w:val="left" w:pos="1184"/>
          <w:tab w:val="left" w:pos="1185"/>
        </w:tabs>
      </w:pPr>
      <w:r>
        <w:t>evaluating</w:t>
      </w:r>
      <w:r>
        <w:rPr>
          <w:spacing w:val="-10"/>
        </w:rPr>
        <w:t xml:space="preserve"> </w:t>
      </w:r>
      <w:r>
        <w:t>well-being</w:t>
      </w:r>
      <w:r>
        <w:rPr>
          <w:spacing w:val="-10"/>
        </w:rPr>
        <w:t xml:space="preserve"> </w:t>
      </w:r>
      <w:r>
        <w:rPr>
          <w:spacing w:val="-2"/>
        </w:rPr>
        <w:t>provision.</w:t>
      </w:r>
    </w:p>
    <w:p w14:paraId="33565A20" w14:textId="77777777" w:rsidR="00803D79" w:rsidRDefault="00803D79">
      <w:pPr>
        <w:pStyle w:val="BodyText"/>
        <w:ind w:left="0"/>
        <w:rPr>
          <w:sz w:val="33"/>
        </w:rPr>
      </w:pPr>
    </w:p>
    <w:p w14:paraId="12CC5AC4" w14:textId="745128FB" w:rsidR="00803D79" w:rsidRDefault="00B21795">
      <w:pPr>
        <w:pStyle w:val="BodyText"/>
        <w:spacing w:line="300" w:lineRule="auto"/>
        <w:ind w:left="120"/>
      </w:pPr>
      <w:r>
        <w:t>The</w:t>
      </w:r>
      <w:r>
        <w:rPr>
          <w:spacing w:val="-5"/>
        </w:rPr>
        <w:t xml:space="preserve"> </w:t>
      </w:r>
      <w:r>
        <w:t>theoretical</w:t>
      </w:r>
      <w:r>
        <w:rPr>
          <w:spacing w:val="-5"/>
        </w:rPr>
        <w:t xml:space="preserve"> </w:t>
      </w:r>
      <w:r>
        <w:t>model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underpins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 w:rsidR="00643194">
        <w:t>Turtle Dove Cambridge Alternative Provision</w:t>
      </w:r>
      <w:r>
        <w:t>’s</w:t>
      </w:r>
      <w:r>
        <w:rPr>
          <w:spacing w:val="-5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assurance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action research. Staff and students are encouraged to work in an action research cycle:</w:t>
      </w:r>
    </w:p>
    <w:p w14:paraId="44C2BC36" w14:textId="77777777" w:rsidR="00803D79" w:rsidRDefault="00B21795">
      <w:pPr>
        <w:pStyle w:val="ListParagraph"/>
        <w:numPr>
          <w:ilvl w:val="0"/>
          <w:numId w:val="1"/>
        </w:numPr>
        <w:tabs>
          <w:tab w:val="left" w:pos="1184"/>
          <w:tab w:val="left" w:pos="1185"/>
        </w:tabs>
      </w:pPr>
      <w:r>
        <w:rPr>
          <w:spacing w:val="-2"/>
        </w:rPr>
        <w:t>plan,</w:t>
      </w:r>
    </w:p>
    <w:p w14:paraId="7DBB477E" w14:textId="77777777" w:rsidR="00803D79" w:rsidRDefault="00B21795">
      <w:pPr>
        <w:pStyle w:val="ListParagraph"/>
        <w:numPr>
          <w:ilvl w:val="0"/>
          <w:numId w:val="1"/>
        </w:numPr>
        <w:tabs>
          <w:tab w:val="left" w:pos="1184"/>
          <w:tab w:val="left" w:pos="1185"/>
        </w:tabs>
        <w:spacing w:before="63"/>
      </w:pPr>
      <w:r>
        <w:t>do</w:t>
      </w:r>
      <w:r>
        <w:rPr>
          <w:spacing w:val="-5"/>
        </w:rPr>
        <w:t xml:space="preserve"> </w:t>
      </w:r>
      <w:r>
        <w:t>(implement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plan),</w:t>
      </w:r>
    </w:p>
    <w:p w14:paraId="14B2B1D9" w14:textId="77777777" w:rsidR="00803D79" w:rsidRDefault="00B21795">
      <w:pPr>
        <w:pStyle w:val="ListParagraph"/>
        <w:numPr>
          <w:ilvl w:val="0"/>
          <w:numId w:val="1"/>
        </w:numPr>
        <w:tabs>
          <w:tab w:val="left" w:pos="1184"/>
          <w:tab w:val="left" w:pos="1185"/>
        </w:tabs>
        <w:spacing w:before="63"/>
      </w:pPr>
      <w:r>
        <w:rPr>
          <w:spacing w:val="-2"/>
        </w:rPr>
        <w:t>evaluate,</w:t>
      </w:r>
    </w:p>
    <w:p w14:paraId="265D9C16" w14:textId="77777777" w:rsidR="00803D79" w:rsidRDefault="00B21795">
      <w:pPr>
        <w:pStyle w:val="ListParagraph"/>
        <w:numPr>
          <w:ilvl w:val="0"/>
          <w:numId w:val="1"/>
        </w:numPr>
        <w:tabs>
          <w:tab w:val="left" w:pos="1184"/>
          <w:tab w:val="left" w:pos="1185"/>
        </w:tabs>
        <w:spacing w:before="64"/>
      </w:pPr>
      <w:r>
        <w:t>plan</w:t>
      </w:r>
      <w:r>
        <w:rPr>
          <w:spacing w:val="-9"/>
        </w:rPr>
        <w:t xml:space="preserve"> </w:t>
      </w:r>
      <w:r>
        <w:t>again</w:t>
      </w:r>
      <w:r>
        <w:rPr>
          <w:spacing w:val="-7"/>
        </w:rPr>
        <w:t xml:space="preserve"> </w:t>
      </w:r>
      <w:proofErr w:type="gramStart"/>
      <w:r>
        <w:t>in</w:t>
      </w:r>
      <w:r>
        <w:rPr>
          <w:spacing w:val="-7"/>
        </w:rPr>
        <w:t xml:space="preserve"> </w:t>
      </w:r>
      <w:r>
        <w:t>light</w:t>
      </w:r>
      <w:r>
        <w:rPr>
          <w:spacing w:val="-6"/>
        </w:rPr>
        <w:t xml:space="preserve"> </w:t>
      </w:r>
      <w:r>
        <w:t>of</w:t>
      </w:r>
      <w:proofErr w:type="gramEnd"/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evaluation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modify</w:t>
      </w:r>
      <w:r>
        <w:rPr>
          <w:spacing w:val="-7"/>
        </w:rPr>
        <w:t xml:space="preserve"> </w:t>
      </w:r>
      <w:r>
        <w:t>practice</w:t>
      </w:r>
      <w:r>
        <w:rPr>
          <w:spacing w:val="-7"/>
        </w:rPr>
        <w:t xml:space="preserve"> </w:t>
      </w:r>
      <w:r>
        <w:t>accordingly,</w:t>
      </w:r>
      <w:r>
        <w:rPr>
          <w:spacing w:val="-6"/>
        </w:rPr>
        <w:t xml:space="preserve"> </w:t>
      </w:r>
      <w:r>
        <w:rPr>
          <w:spacing w:val="-4"/>
        </w:rPr>
        <w:t>and…</w:t>
      </w:r>
    </w:p>
    <w:p w14:paraId="7039D20E" w14:textId="77777777" w:rsidR="00803D79" w:rsidRDefault="00B21795">
      <w:pPr>
        <w:pStyle w:val="ListParagraph"/>
        <w:numPr>
          <w:ilvl w:val="0"/>
          <w:numId w:val="1"/>
        </w:numPr>
        <w:tabs>
          <w:tab w:val="left" w:pos="1184"/>
          <w:tab w:val="left" w:pos="1185"/>
        </w:tabs>
        <w:spacing w:before="63"/>
      </w:pPr>
      <w:r>
        <w:rPr>
          <w:spacing w:val="-5"/>
        </w:rPr>
        <w:t>do,</w:t>
      </w:r>
    </w:p>
    <w:p w14:paraId="753C49A9" w14:textId="77777777" w:rsidR="00803D79" w:rsidRDefault="00B21795">
      <w:pPr>
        <w:pStyle w:val="ListParagraph"/>
        <w:numPr>
          <w:ilvl w:val="0"/>
          <w:numId w:val="1"/>
        </w:numPr>
        <w:tabs>
          <w:tab w:val="left" w:pos="1184"/>
          <w:tab w:val="left" w:pos="1185"/>
        </w:tabs>
        <w:spacing w:before="70"/>
      </w:pPr>
      <w:r>
        <w:rPr>
          <w:spacing w:val="-2"/>
        </w:rPr>
        <w:t>evaluate,</w:t>
      </w:r>
    </w:p>
    <w:p w14:paraId="2BB38D51" w14:textId="77777777" w:rsidR="00803D79" w:rsidRDefault="00B21795">
      <w:pPr>
        <w:pStyle w:val="ListParagraph"/>
        <w:numPr>
          <w:ilvl w:val="0"/>
          <w:numId w:val="1"/>
        </w:numPr>
        <w:tabs>
          <w:tab w:val="left" w:pos="1184"/>
          <w:tab w:val="left" w:pos="1185"/>
        </w:tabs>
        <w:spacing w:before="80"/>
      </w:pPr>
      <w:r>
        <w:t>plan…</w:t>
      </w:r>
      <w:r>
        <w:rPr>
          <w:spacing w:val="-5"/>
        </w:rPr>
        <w:t xml:space="preserve"> </w:t>
      </w:r>
      <w:r>
        <w:rPr>
          <w:spacing w:val="-2"/>
        </w:rPr>
        <w:t>ongoingly.</w:t>
      </w:r>
    </w:p>
    <w:p w14:paraId="22412076" w14:textId="77777777" w:rsidR="00803D79" w:rsidRDefault="00803D79">
      <w:pPr>
        <w:pStyle w:val="BodyText"/>
        <w:ind w:left="0"/>
        <w:rPr>
          <w:sz w:val="33"/>
        </w:rPr>
      </w:pPr>
    </w:p>
    <w:p w14:paraId="37872602" w14:textId="77777777" w:rsidR="00803D79" w:rsidRDefault="00B21795">
      <w:pPr>
        <w:pStyle w:val="BodyText"/>
        <w:spacing w:line="300" w:lineRule="auto"/>
        <w:ind w:left="120"/>
      </w:pPr>
      <w:r>
        <w:t>In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proofErr w:type="gramStart"/>
      <w:r>
        <w:t>cases</w:t>
      </w:r>
      <w:proofErr w:type="gramEnd"/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proofErr w:type="spellStart"/>
      <w:r>
        <w:t>formalised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research,</w:t>
      </w:r>
      <w:r>
        <w:rPr>
          <w:spacing w:val="-3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usually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 xml:space="preserve">is simply a way of being and </w:t>
      </w:r>
      <w:proofErr w:type="spellStart"/>
      <w:r>
        <w:t>practising</w:t>
      </w:r>
      <w:proofErr w:type="spellEnd"/>
      <w:r>
        <w:t xml:space="preserve"> that leads to high quality provision.</w:t>
      </w:r>
    </w:p>
    <w:p w14:paraId="56C9FE15" w14:textId="77777777" w:rsidR="00803D79" w:rsidRDefault="00803D79">
      <w:pPr>
        <w:pStyle w:val="BodyText"/>
        <w:spacing w:before="9"/>
        <w:ind w:left="0"/>
        <w:rPr>
          <w:sz w:val="27"/>
        </w:rPr>
      </w:pPr>
    </w:p>
    <w:p w14:paraId="492F890B" w14:textId="77777777" w:rsidR="00FC453F" w:rsidRDefault="00FC453F">
      <w:pPr>
        <w:pStyle w:val="Heading1"/>
        <w:ind w:left="120"/>
        <w:rPr>
          <w:color w:val="424242"/>
          <w:spacing w:val="-2"/>
        </w:rPr>
      </w:pPr>
    </w:p>
    <w:p w14:paraId="1E253FED" w14:textId="57789D18" w:rsidR="00803D79" w:rsidRDefault="00B21795">
      <w:pPr>
        <w:pStyle w:val="Heading1"/>
        <w:ind w:left="120"/>
        <w:rPr>
          <w:color w:val="424242"/>
          <w:spacing w:val="-2"/>
        </w:rPr>
      </w:pPr>
      <w:r>
        <w:rPr>
          <w:color w:val="424242"/>
          <w:spacing w:val="-2"/>
        </w:rPr>
        <w:t>Responsibilities</w:t>
      </w:r>
    </w:p>
    <w:p w14:paraId="5E889778" w14:textId="77777777" w:rsidR="00FC453F" w:rsidRDefault="00FC453F">
      <w:pPr>
        <w:pStyle w:val="Heading1"/>
        <w:ind w:left="120"/>
      </w:pPr>
    </w:p>
    <w:p w14:paraId="161227D7" w14:textId="77777777" w:rsidR="00803D79" w:rsidRDefault="00B21795">
      <w:pPr>
        <w:pStyle w:val="Heading3"/>
        <w:spacing w:before="161"/>
      </w:pPr>
      <w:r>
        <w:t>Individual</w:t>
      </w:r>
      <w:r>
        <w:rPr>
          <w:spacing w:val="-10"/>
        </w:rPr>
        <w:t xml:space="preserve"> </w:t>
      </w:r>
      <w:r>
        <w:rPr>
          <w:spacing w:val="-2"/>
        </w:rPr>
        <w:t>staff:</w:t>
      </w:r>
    </w:p>
    <w:p w14:paraId="518F142F" w14:textId="739178D3" w:rsidR="00803D79" w:rsidRDefault="00B21795">
      <w:pPr>
        <w:pStyle w:val="BodyText"/>
        <w:spacing w:before="63" w:line="300" w:lineRule="auto"/>
        <w:ind w:left="120" w:right="198"/>
      </w:pPr>
      <w:r>
        <w:t>All staff, regardless of their role, are expected to be reflective practitioners who learn from their</w:t>
      </w:r>
      <w:r>
        <w:rPr>
          <w:spacing w:val="-4"/>
        </w:rPr>
        <w:t xml:space="preserve"> </w:t>
      </w:r>
      <w:r>
        <w:t>experiences</w:t>
      </w:r>
      <w:r w:rsidR="008650F3">
        <w:t xml:space="preserve"> </w:t>
      </w:r>
      <w:r>
        <w:t>and</w:t>
      </w:r>
      <w:r>
        <w:rPr>
          <w:spacing w:val="-4"/>
        </w:rPr>
        <w:t xml:space="preserve"> </w:t>
      </w:r>
      <w:r>
        <w:t>modify</w:t>
      </w:r>
      <w:r>
        <w:rPr>
          <w:spacing w:val="-4"/>
        </w:rPr>
        <w:t xml:space="preserve"> </w:t>
      </w:r>
      <w:r>
        <w:t>practice</w:t>
      </w:r>
      <w:r>
        <w:rPr>
          <w:spacing w:val="-4"/>
        </w:rPr>
        <w:t xml:space="preserve"> </w:t>
      </w:r>
      <w:proofErr w:type="gramStart"/>
      <w:r>
        <w:t>in</w:t>
      </w:r>
      <w:r>
        <w:rPr>
          <w:spacing w:val="-4"/>
        </w:rPr>
        <w:t xml:space="preserve"> </w:t>
      </w:r>
      <w:r>
        <w:t>light</w:t>
      </w:r>
      <w:r>
        <w:rPr>
          <w:spacing w:val="-4"/>
        </w:rPr>
        <w:t xml:space="preserve"> </w:t>
      </w:r>
      <w:r>
        <w:t>of</w:t>
      </w:r>
      <w:proofErr w:type="gramEnd"/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learning.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expect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voice</w:t>
      </w:r>
      <w:r>
        <w:rPr>
          <w:spacing w:val="-4"/>
        </w:rPr>
        <w:t xml:space="preserve"> </w:t>
      </w:r>
      <w:r>
        <w:t>(i.e. staff discussing practice / learning with students) to be a central factor in that reflection.</w:t>
      </w:r>
    </w:p>
    <w:p w14:paraId="790627F0" w14:textId="77777777" w:rsidR="00803D79" w:rsidRDefault="00803D79">
      <w:pPr>
        <w:pStyle w:val="BodyText"/>
        <w:spacing w:before="6"/>
        <w:ind w:left="0"/>
        <w:rPr>
          <w:sz w:val="27"/>
        </w:rPr>
      </w:pPr>
    </w:p>
    <w:p w14:paraId="033035B5" w14:textId="01AFDD70" w:rsidR="00803D79" w:rsidRDefault="00643194">
      <w:pPr>
        <w:pStyle w:val="Heading3"/>
        <w:ind w:left="120"/>
      </w:pPr>
      <w:r>
        <w:t>Alternative Education Lead</w:t>
      </w:r>
      <w:r>
        <w:rPr>
          <w:spacing w:val="-7"/>
        </w:rPr>
        <w:t xml:space="preserve"> </w:t>
      </w:r>
      <w:r>
        <w:t>building</w:t>
      </w:r>
      <w:r>
        <w:rPr>
          <w:spacing w:val="-7"/>
        </w:rPr>
        <w:t xml:space="preserve"> </w:t>
      </w:r>
      <w:proofErr w:type="spellStart"/>
      <w:r>
        <w:t>self</w:t>
      </w:r>
      <w:r>
        <w:rPr>
          <w:spacing w:val="-7"/>
        </w:rPr>
        <w:t xml:space="preserve"> </w:t>
      </w:r>
      <w:r>
        <w:t>evaluation</w:t>
      </w:r>
      <w:proofErr w:type="spellEnd"/>
      <w:r>
        <w:rPr>
          <w:spacing w:val="-7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daily</w:t>
      </w:r>
      <w:r>
        <w:rPr>
          <w:spacing w:val="-7"/>
        </w:rPr>
        <w:t xml:space="preserve"> </w:t>
      </w:r>
      <w:r>
        <w:rPr>
          <w:spacing w:val="-2"/>
        </w:rPr>
        <w:t>practice:</w:t>
      </w:r>
    </w:p>
    <w:p w14:paraId="6B8901F2" w14:textId="6141CDA8" w:rsidR="00803D79" w:rsidRDefault="00643194">
      <w:pPr>
        <w:pStyle w:val="BodyText"/>
        <w:spacing w:before="63" w:line="300" w:lineRule="auto"/>
        <w:ind w:left="120" w:right="241"/>
      </w:pPr>
      <w:r>
        <w:t>The Alternative education Lead is</w:t>
      </w:r>
      <w:r>
        <w:rPr>
          <w:spacing w:val="-4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ensuring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thorough,</w:t>
      </w:r>
      <w:r>
        <w:rPr>
          <w:spacing w:val="-4"/>
        </w:rPr>
        <w:t xml:space="preserve"> </w:t>
      </w:r>
      <w:r>
        <w:t>robust</w:t>
      </w:r>
      <w:r>
        <w:rPr>
          <w:spacing w:val="-4"/>
        </w:rPr>
        <w:t xml:space="preserve"> </w:t>
      </w:r>
      <w:proofErr w:type="spellStart"/>
      <w:r>
        <w:t>self</w:t>
      </w:r>
      <w:r>
        <w:rPr>
          <w:spacing w:val="-4"/>
        </w:rPr>
        <w:t xml:space="preserve"> </w:t>
      </w:r>
      <w:r>
        <w:t>evaluation</w:t>
      </w:r>
      <w:proofErr w:type="spellEnd"/>
      <w:r>
        <w:rPr>
          <w:spacing w:val="-4"/>
        </w:rPr>
        <w:t xml:space="preserve"> </w:t>
      </w:r>
      <w:r>
        <w:t>(SEF)</w:t>
      </w:r>
      <w:r>
        <w:rPr>
          <w:spacing w:val="-4"/>
        </w:rPr>
        <w:t xml:space="preserve"> </w:t>
      </w:r>
      <w:r>
        <w:t xml:space="preserve">of the provision’s work is available for external inspection. </w:t>
      </w:r>
      <w:proofErr w:type="spellStart"/>
      <w:r>
        <w:t>Self evaluation</w:t>
      </w:r>
      <w:proofErr w:type="spellEnd"/>
      <w:r>
        <w:t xml:space="preserve"> should be seen as a permanent</w:t>
      </w:r>
      <w:r>
        <w:rPr>
          <w:spacing w:val="-1"/>
        </w:rPr>
        <w:t xml:space="preserve"> </w:t>
      </w:r>
      <w:r>
        <w:t>aspect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provisio</w:t>
      </w:r>
      <w:r w:rsidR="008650F3">
        <w:t>n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rather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‘one</w:t>
      </w:r>
      <w:r>
        <w:rPr>
          <w:spacing w:val="-1"/>
        </w:rPr>
        <w:t xml:space="preserve"> </w:t>
      </w:r>
      <w:r>
        <w:t>off’</w:t>
      </w:r>
      <w:r>
        <w:rPr>
          <w:spacing w:val="-9"/>
        </w:rPr>
        <w:t xml:space="preserve"> </w:t>
      </w:r>
      <w:r>
        <w:t>piece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work.</w:t>
      </w:r>
      <w:r>
        <w:rPr>
          <w:spacing w:val="-5"/>
        </w:rPr>
        <w:t xml:space="preserve"> </w:t>
      </w:r>
      <w:r>
        <w:t>Self-evaluation serves as a tool for practice development first and an informative collation of data for inspection second.</w:t>
      </w:r>
    </w:p>
    <w:p w14:paraId="021C8CAB" w14:textId="77777777" w:rsidR="00803D79" w:rsidRDefault="00803D79">
      <w:pPr>
        <w:pStyle w:val="BodyText"/>
        <w:spacing w:before="6"/>
        <w:ind w:left="0"/>
        <w:rPr>
          <w:sz w:val="27"/>
        </w:rPr>
      </w:pPr>
    </w:p>
    <w:p w14:paraId="1C4D27F5" w14:textId="77777777" w:rsidR="00803D79" w:rsidRDefault="00B21795">
      <w:pPr>
        <w:pStyle w:val="Heading3"/>
      </w:pPr>
      <w:r>
        <w:t>Professional</w:t>
      </w:r>
      <w:r>
        <w:rPr>
          <w:spacing w:val="-9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rPr>
          <w:spacing w:val="-2"/>
        </w:rPr>
        <w:t>staff:</w:t>
      </w:r>
    </w:p>
    <w:p w14:paraId="16AF7236" w14:textId="77777777" w:rsidR="00643194" w:rsidRDefault="00B21795">
      <w:pPr>
        <w:pStyle w:val="BodyText"/>
        <w:spacing w:before="63" w:line="300" w:lineRule="auto"/>
        <w:ind w:left="120" w:right="59"/>
      </w:pPr>
      <w:r>
        <w:t xml:space="preserve">Every member of staff participates in an annual cycle of performance management. </w:t>
      </w:r>
      <w:r w:rsidR="00643194">
        <w:t xml:space="preserve">The Alternative Education Lead </w:t>
      </w:r>
      <w:r>
        <w:t>must ensure that every member of staff has an annual review meeting. The nature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discussions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depend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undertaken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 staff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accountabilities</w:t>
      </w:r>
      <w:r>
        <w:rPr>
          <w:spacing w:val="-2"/>
        </w:rPr>
        <w:t xml:space="preserve"> </w:t>
      </w:r>
      <w:r>
        <w:t>assigned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them.</w:t>
      </w:r>
      <w:r>
        <w:rPr>
          <w:spacing w:val="-14"/>
        </w:rPr>
        <w:t xml:space="preserve"> </w:t>
      </w:r>
    </w:p>
    <w:p w14:paraId="57029F72" w14:textId="60B18E5D" w:rsidR="00803D79" w:rsidRDefault="00B21795">
      <w:pPr>
        <w:pStyle w:val="BodyText"/>
        <w:spacing w:before="63" w:line="300" w:lineRule="auto"/>
        <w:ind w:left="120" w:right="59"/>
      </w:pPr>
      <w:r>
        <w:t>Key features of all reviews will be:</w:t>
      </w:r>
    </w:p>
    <w:p w14:paraId="1AABC729" w14:textId="77777777" w:rsidR="00803D79" w:rsidRDefault="00B21795">
      <w:pPr>
        <w:pStyle w:val="ListParagraph"/>
        <w:numPr>
          <w:ilvl w:val="0"/>
          <w:numId w:val="1"/>
        </w:numPr>
        <w:tabs>
          <w:tab w:val="left" w:pos="1184"/>
          <w:tab w:val="left" w:pos="1185"/>
        </w:tabs>
      </w:pPr>
      <w:r>
        <w:t>clarification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individual</w:t>
      </w:r>
      <w:r>
        <w:rPr>
          <w:spacing w:val="-9"/>
        </w:rPr>
        <w:t xml:space="preserve"> </w:t>
      </w:r>
      <w:proofErr w:type="gramStart"/>
      <w:r>
        <w:t>accountabilities</w:t>
      </w:r>
      <w:proofErr w:type="gramEnd"/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responsibilities;</w:t>
      </w:r>
      <w:proofErr w:type="gramEnd"/>
    </w:p>
    <w:p w14:paraId="4B043534" w14:textId="77777777" w:rsidR="00803D79" w:rsidRDefault="00B21795">
      <w:pPr>
        <w:pStyle w:val="ListParagraph"/>
        <w:numPr>
          <w:ilvl w:val="0"/>
          <w:numId w:val="1"/>
        </w:numPr>
        <w:tabs>
          <w:tab w:val="left" w:pos="1184"/>
          <w:tab w:val="left" w:pos="1185"/>
        </w:tabs>
        <w:spacing w:before="63"/>
      </w:pPr>
      <w:proofErr w:type="spellStart"/>
      <w:r>
        <w:t>self</w:t>
      </w:r>
      <w:r>
        <w:rPr>
          <w:spacing w:val="-6"/>
        </w:rPr>
        <w:t xml:space="preserve"> </w:t>
      </w:r>
      <w:r>
        <w:t>evaluation</w:t>
      </w:r>
      <w:proofErr w:type="spellEnd"/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staff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member;</w:t>
      </w:r>
      <w:proofErr w:type="gramEnd"/>
    </w:p>
    <w:p w14:paraId="7B79E667" w14:textId="77777777" w:rsidR="00803D79" w:rsidRDefault="00B21795">
      <w:pPr>
        <w:pStyle w:val="ListParagraph"/>
        <w:numPr>
          <w:ilvl w:val="0"/>
          <w:numId w:val="1"/>
        </w:numPr>
        <w:tabs>
          <w:tab w:val="left" w:pos="1184"/>
          <w:tab w:val="left" w:pos="1185"/>
        </w:tabs>
        <w:spacing w:before="63" w:line="300" w:lineRule="auto"/>
        <w:ind w:right="590"/>
      </w:pPr>
      <w:r>
        <w:t>feedback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practice</w:t>
      </w:r>
      <w:r>
        <w:rPr>
          <w:spacing w:val="-5"/>
        </w:rPr>
        <w:t xml:space="preserve"> </w:t>
      </w:r>
      <w:r>
        <w:t>(this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ongoing</w:t>
      </w:r>
      <w:r>
        <w:rPr>
          <w:spacing w:val="-5"/>
        </w:rPr>
        <w:t xml:space="preserve"> </w:t>
      </w:r>
      <w:r>
        <w:t>throughout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year,</w:t>
      </w:r>
      <w:r>
        <w:rPr>
          <w:spacing w:val="-5"/>
        </w:rPr>
        <w:t xml:space="preserve"> </w:t>
      </w:r>
      <w:r>
        <w:t>hence</w:t>
      </w:r>
      <w:r>
        <w:rPr>
          <w:spacing w:val="-5"/>
        </w:rPr>
        <w:t xml:space="preserve"> </w:t>
      </w:r>
      <w:r>
        <w:t>there should be no ‘surprises’</w:t>
      </w:r>
      <w:proofErr w:type="gramStart"/>
      <w:r>
        <w:t>);</w:t>
      </w:r>
      <w:proofErr w:type="gramEnd"/>
    </w:p>
    <w:p w14:paraId="0E88E772" w14:textId="77777777" w:rsidR="00803D79" w:rsidRDefault="00B21795">
      <w:pPr>
        <w:pStyle w:val="ListParagraph"/>
        <w:numPr>
          <w:ilvl w:val="0"/>
          <w:numId w:val="1"/>
        </w:numPr>
        <w:tabs>
          <w:tab w:val="left" w:pos="1184"/>
          <w:tab w:val="left" w:pos="1185"/>
        </w:tabs>
        <w:spacing w:before="8"/>
      </w:pPr>
      <w:r>
        <w:t>agreement</w:t>
      </w:r>
      <w:r>
        <w:rPr>
          <w:spacing w:val="-8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‘focus</w:t>
      </w:r>
      <w:r>
        <w:rPr>
          <w:spacing w:val="-6"/>
        </w:rPr>
        <w:t xml:space="preserve"> </w:t>
      </w:r>
      <w:proofErr w:type="gramStart"/>
      <w:r>
        <w:t>areas’</w:t>
      </w:r>
      <w:proofErr w:type="gramEnd"/>
      <w:r>
        <w:rPr>
          <w:spacing w:val="-1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coming</w:t>
      </w:r>
      <w:r>
        <w:rPr>
          <w:spacing w:val="-5"/>
        </w:rPr>
        <w:t xml:space="preserve"> </w:t>
      </w:r>
      <w:proofErr w:type="gramStart"/>
      <w:r>
        <w:rPr>
          <w:spacing w:val="-4"/>
        </w:rPr>
        <w:t>year;</w:t>
      </w:r>
      <w:proofErr w:type="gramEnd"/>
    </w:p>
    <w:p w14:paraId="3523B4CA" w14:textId="77777777" w:rsidR="00803D79" w:rsidRDefault="00B21795">
      <w:pPr>
        <w:pStyle w:val="ListParagraph"/>
        <w:numPr>
          <w:ilvl w:val="0"/>
          <w:numId w:val="1"/>
        </w:numPr>
        <w:tabs>
          <w:tab w:val="left" w:pos="1184"/>
          <w:tab w:val="left" w:pos="1185"/>
        </w:tabs>
        <w:spacing w:before="75"/>
      </w:pPr>
      <w:r>
        <w:t>identification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t>requirements</w:t>
      </w:r>
      <w:r>
        <w:rPr>
          <w:spacing w:val="-7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needs.</w:t>
      </w:r>
    </w:p>
    <w:p w14:paraId="35DB81F3" w14:textId="77777777" w:rsidR="00803D79" w:rsidRDefault="00803D79">
      <w:pPr>
        <w:pStyle w:val="BodyText"/>
        <w:ind w:left="0"/>
        <w:rPr>
          <w:sz w:val="33"/>
        </w:rPr>
      </w:pPr>
    </w:p>
    <w:p w14:paraId="41151594" w14:textId="77777777" w:rsidR="00803D79" w:rsidRDefault="00B21795">
      <w:pPr>
        <w:pStyle w:val="Heading3"/>
      </w:pPr>
      <w:r>
        <w:t>Annual</w:t>
      </w:r>
      <w:r>
        <w:rPr>
          <w:spacing w:val="-7"/>
        </w:rPr>
        <w:t xml:space="preserve"> </w:t>
      </w:r>
      <w:r>
        <w:t>questionnaires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parents:</w:t>
      </w:r>
    </w:p>
    <w:p w14:paraId="7DE50043" w14:textId="6493930D" w:rsidR="00803D79" w:rsidRDefault="00B21795">
      <w:pPr>
        <w:pStyle w:val="BodyText"/>
        <w:spacing w:before="80" w:line="300" w:lineRule="auto"/>
        <w:ind w:left="120" w:right="198"/>
      </w:pPr>
      <w:r>
        <w:t>The</w:t>
      </w:r>
      <w:r w:rsidR="00440CDE">
        <w:rPr>
          <w:spacing w:val="-4"/>
        </w:rPr>
        <w:t xml:space="preserve"> Alternative education Lead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ensuring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questionnaires</w:t>
      </w:r>
      <w:r>
        <w:rPr>
          <w:spacing w:val="-4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 xml:space="preserve">students and parents, that data garnered is collated and fed back to </w:t>
      </w:r>
      <w:r w:rsidR="00440CDE">
        <w:t>The Board of Directors</w:t>
      </w:r>
      <w:r>
        <w:t xml:space="preserve"> and staff, and that any key issues raised are pursued.</w:t>
      </w:r>
    </w:p>
    <w:p w14:paraId="554811F6" w14:textId="77777777" w:rsidR="00803D79" w:rsidRDefault="00803D79">
      <w:pPr>
        <w:pStyle w:val="BodyText"/>
        <w:ind w:left="0"/>
        <w:rPr>
          <w:sz w:val="24"/>
        </w:rPr>
      </w:pPr>
    </w:p>
    <w:p w14:paraId="7076D4FF" w14:textId="77777777" w:rsidR="00803D79" w:rsidRDefault="00B21795">
      <w:pPr>
        <w:pStyle w:val="Heading1"/>
      </w:pPr>
      <w:r>
        <w:rPr>
          <w:color w:val="424242"/>
          <w:spacing w:val="-2"/>
        </w:rPr>
        <w:t>Safeguarding</w:t>
      </w:r>
    </w:p>
    <w:p w14:paraId="19D62F61" w14:textId="77777777" w:rsidR="00803D79" w:rsidRDefault="00B21795">
      <w:pPr>
        <w:pStyle w:val="BodyText"/>
        <w:spacing w:before="160" w:line="300" w:lineRule="auto"/>
        <w:ind w:left="120"/>
      </w:pPr>
      <w:r>
        <w:t>Safeguarding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core</w:t>
      </w:r>
      <w:r>
        <w:rPr>
          <w:spacing w:val="-4"/>
        </w:rPr>
        <w:t xml:space="preserve"> </w:t>
      </w:r>
      <w:r>
        <w:t>element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staff. We seek to ensure the very highest level of practice here through:</w:t>
      </w:r>
    </w:p>
    <w:p w14:paraId="48E44FB7" w14:textId="63B0517A" w:rsidR="00803D79" w:rsidRDefault="00B21795">
      <w:pPr>
        <w:pStyle w:val="ListParagraph"/>
        <w:numPr>
          <w:ilvl w:val="0"/>
          <w:numId w:val="1"/>
        </w:numPr>
        <w:tabs>
          <w:tab w:val="left" w:pos="1184"/>
          <w:tab w:val="left" w:pos="1185"/>
        </w:tabs>
      </w:pPr>
      <w:r>
        <w:t>appointing</w:t>
      </w:r>
      <w:r>
        <w:rPr>
          <w:spacing w:val="-9"/>
        </w:rPr>
        <w:t xml:space="preserve"> </w:t>
      </w:r>
      <w:r>
        <w:t>a</w:t>
      </w:r>
      <w:r w:rsidR="00440CDE">
        <w:t xml:space="preserve"> </w:t>
      </w:r>
      <w:r>
        <w:t>Safeguarding</w:t>
      </w:r>
      <w:r>
        <w:rPr>
          <w:spacing w:val="-6"/>
        </w:rPr>
        <w:t xml:space="preserve"> </w:t>
      </w:r>
      <w:r>
        <w:t>Lead</w:t>
      </w:r>
      <w:r>
        <w:rPr>
          <w:spacing w:val="-7"/>
        </w:rPr>
        <w:t xml:space="preserve"> </w:t>
      </w:r>
      <w:r>
        <w:t>person</w:t>
      </w:r>
      <w:r w:rsidR="008650F3">
        <w:t xml:space="preserve"> and Deputy</w:t>
      </w:r>
      <w:r>
        <w:rPr>
          <w:spacing w:val="-2"/>
        </w:rPr>
        <w:t>;</w:t>
      </w:r>
    </w:p>
    <w:p w14:paraId="79D2F126" w14:textId="13EE284D" w:rsidR="00803D79" w:rsidRDefault="00B21795">
      <w:pPr>
        <w:pStyle w:val="ListParagraph"/>
        <w:numPr>
          <w:ilvl w:val="0"/>
          <w:numId w:val="1"/>
        </w:numPr>
        <w:tabs>
          <w:tab w:val="left" w:pos="1184"/>
          <w:tab w:val="left" w:pos="1185"/>
        </w:tabs>
        <w:spacing w:before="63" w:line="300" w:lineRule="auto"/>
        <w:ind w:right="750"/>
      </w:pPr>
      <w:r>
        <w:t xml:space="preserve">ensuring </w:t>
      </w:r>
      <w:r w:rsidR="00440CDE">
        <w:t>the Board of Directors</w:t>
      </w:r>
      <w:r>
        <w:t xml:space="preserve"> understand their responsibilities towards safeguarding (including</w:t>
      </w:r>
      <w:r>
        <w:rPr>
          <w:spacing w:val="-5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monitoring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documents,</w:t>
      </w:r>
      <w:r>
        <w:rPr>
          <w:spacing w:val="-5"/>
        </w:rPr>
        <w:t xml:space="preserve"> </w:t>
      </w:r>
      <w:r>
        <w:t>receiving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 safeguarding lead, and auditing practice</w:t>
      </w:r>
      <w:proofErr w:type="gramStart"/>
      <w:r>
        <w:t>);</w:t>
      </w:r>
      <w:proofErr w:type="gramEnd"/>
    </w:p>
    <w:p w14:paraId="2C7A3E8F" w14:textId="77777777" w:rsidR="00803D79" w:rsidRDefault="00B21795">
      <w:pPr>
        <w:pStyle w:val="ListParagraph"/>
        <w:numPr>
          <w:ilvl w:val="0"/>
          <w:numId w:val="1"/>
        </w:numPr>
        <w:tabs>
          <w:tab w:val="left" w:pos="1184"/>
          <w:tab w:val="left" w:pos="1185"/>
        </w:tabs>
      </w:pPr>
      <w:r>
        <w:t>making</w:t>
      </w:r>
      <w:r>
        <w:rPr>
          <w:spacing w:val="-8"/>
        </w:rPr>
        <w:t xml:space="preserve"> </w:t>
      </w:r>
      <w:r>
        <w:t>safeguarding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element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induction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staff;</w:t>
      </w:r>
      <w:proofErr w:type="gramEnd"/>
    </w:p>
    <w:p w14:paraId="68BEC23F" w14:textId="77777777" w:rsidR="00803D79" w:rsidRDefault="00B21795">
      <w:pPr>
        <w:pStyle w:val="ListParagraph"/>
        <w:numPr>
          <w:ilvl w:val="0"/>
          <w:numId w:val="1"/>
        </w:numPr>
        <w:tabs>
          <w:tab w:val="left" w:pos="1184"/>
          <w:tab w:val="left" w:pos="1185"/>
        </w:tabs>
        <w:spacing w:before="64"/>
      </w:pPr>
      <w:r>
        <w:t>ensuring</w:t>
      </w:r>
      <w:r>
        <w:rPr>
          <w:spacing w:val="-9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trained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rPr>
          <w:spacing w:val="-2"/>
        </w:rPr>
        <w:t>levels.</w:t>
      </w:r>
    </w:p>
    <w:sectPr w:rsidR="00803D79">
      <w:footerReference w:type="default" r:id="rId8"/>
      <w:pgSz w:w="11920" w:h="16840"/>
      <w:pgMar w:top="1360" w:right="1220" w:bottom="980" w:left="1320" w:header="0" w:footer="7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C23C1" w14:textId="77777777" w:rsidR="004B5AE5" w:rsidRDefault="004B5AE5">
      <w:r>
        <w:separator/>
      </w:r>
    </w:p>
  </w:endnote>
  <w:endnote w:type="continuationSeparator" w:id="0">
    <w:p w14:paraId="55BDBE69" w14:textId="77777777" w:rsidR="004B5AE5" w:rsidRDefault="004B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684C2" w14:textId="77777777" w:rsidR="00803D79" w:rsidRDefault="00B21795">
    <w:pPr>
      <w:pStyle w:val="BodyText"/>
      <w:spacing w:line="14" w:lineRule="auto"/>
      <w:ind w:left="0"/>
      <w:rPr>
        <w:sz w:val="20"/>
      </w:rPr>
    </w:pPr>
    <w:r>
      <w:pict w14:anchorId="24170D3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alt="" style="position:absolute;margin-left:516.2pt;margin-top:791.05pt;width:13.15pt;height:14.3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361AD5A" w14:textId="77777777" w:rsidR="00803D79" w:rsidRDefault="00B21795">
                <w:pPr>
                  <w:pStyle w:val="BodyText"/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52F5E" w14:textId="77777777" w:rsidR="004B5AE5" w:rsidRDefault="004B5AE5">
      <w:r>
        <w:separator/>
      </w:r>
    </w:p>
  </w:footnote>
  <w:footnote w:type="continuationSeparator" w:id="0">
    <w:p w14:paraId="73DB7EE4" w14:textId="77777777" w:rsidR="004B5AE5" w:rsidRDefault="004B5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F55C5"/>
    <w:multiLevelType w:val="hybridMultilevel"/>
    <w:tmpl w:val="58228AFA"/>
    <w:lvl w:ilvl="0" w:tplc="1FE0377E">
      <w:numFmt w:val="bullet"/>
      <w:lvlText w:val="●"/>
      <w:lvlJc w:val="left"/>
      <w:pPr>
        <w:ind w:left="1185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CA6D084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2" w:tplc="E6CEF87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305E073A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4" w:tplc="93D4C05E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 w:tplc="6E6ECE2A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BAE6881C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7" w:tplc="19461C28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 w:tplc="92FC5DE2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5654695"/>
    <w:multiLevelType w:val="hybridMultilevel"/>
    <w:tmpl w:val="F6E20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11362">
    <w:abstractNumId w:val="0"/>
  </w:num>
  <w:num w:numId="2" w16cid:durableId="951127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3D79"/>
    <w:rsid w:val="00245D8C"/>
    <w:rsid w:val="00440CDE"/>
    <w:rsid w:val="004B5AE5"/>
    <w:rsid w:val="00643194"/>
    <w:rsid w:val="00673F1C"/>
    <w:rsid w:val="00803D79"/>
    <w:rsid w:val="00861274"/>
    <w:rsid w:val="008650F3"/>
    <w:rsid w:val="00B21795"/>
    <w:rsid w:val="00D64894"/>
    <w:rsid w:val="00E42C4D"/>
    <w:rsid w:val="00ED1F8D"/>
    <w:rsid w:val="00FC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F8E9F"/>
  <w15:docId w15:val="{AD5A2D76-6849-4166-A41C-E750B97A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2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105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5"/>
    </w:pPr>
  </w:style>
  <w:style w:type="paragraph" w:styleId="ListParagraph">
    <w:name w:val="List Paragraph"/>
    <w:basedOn w:val="Normal"/>
    <w:uiPriority w:val="1"/>
    <w:qFormat/>
    <w:pPr>
      <w:ind w:left="1185" w:hanging="360"/>
    </w:pPr>
  </w:style>
  <w:style w:type="paragraph" w:customStyle="1" w:styleId="TableParagraph">
    <w:name w:val="Table Paragraph"/>
    <w:basedOn w:val="Normal"/>
    <w:uiPriority w:val="1"/>
    <w:qFormat/>
    <w:pPr>
      <w:spacing w:before="96"/>
      <w:ind w:left="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RBAir Quality Assurance</vt:lpstr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RBAir Quality Assurance</dc:title>
  <cp:lastModifiedBy>Laura Atkin (CAST - Staff)</cp:lastModifiedBy>
  <cp:revision>2</cp:revision>
  <dcterms:created xsi:type="dcterms:W3CDTF">2025-08-12T18:11:00Z</dcterms:created>
  <dcterms:modified xsi:type="dcterms:W3CDTF">2025-08-12T18:11:00Z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m99 Google Docs Renderer</vt:lpwstr>
  </property>
</Properties>
</file>